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УТВЕРЖДЕН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решением Совета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      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spacing w:after="0" w:line="240" w:lineRule="auto"/>
        <w:ind w:left="5400" w:firstLine="0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tabs>
          <w:tab w:val="left" w:pos="5103"/>
        </w:tabs>
        <w:spacing w:after="0" w:line="240" w:lineRule="auto"/>
        <w:jc w:val="center"/>
        <w:rPr>
          <w:rFonts w:ascii="Times New Roman" w:cs="Times New Roman" w:hAnsi="Times New Roman" w:eastAsia="Times New Roman"/>
          <w:outline w:val="0"/>
          <w:color w:val="c00000"/>
          <w:sz w:val="28"/>
          <w:szCs w:val="28"/>
          <w:u w:color="c00000"/>
          <w14:textFill>
            <w14:solidFill>
              <w14:srgbClr w14:val="C00000"/>
            </w14:solidFill>
          </w14:textFill>
        </w:rPr>
      </w:pPr>
    </w:p>
    <w:p>
      <w:pPr>
        <w:pStyle w:val="Normal.0"/>
        <w:tabs>
          <w:tab w:val="left" w:pos="5103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ПОРЯДОК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учета предложений и участия граждан в обсуждении проекта решения Совета Тимашевского городского поселения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«О внесении изменений в Устав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Тимашевского городского поселения Тимашевского района»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Жители Тимашевского городского поселения Тимашевского района с момента опубликования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далее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вправе участвовать в его обсуждении в следующих формах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собраний граждан по месту жительства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массовое обсуждение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согласно настоящему Порядку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публичных слушаний по проекту решения Совета Тимашевского городского поселения Тимашевского района «О внесении изменений и дополнений в Устав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иные формы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противоречащие действующему законодательству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Body Text 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2. </w:t>
      </w:r>
      <w:r>
        <w:rPr>
          <w:sz w:val="28"/>
          <w:szCs w:val="28"/>
          <w:rtl w:val="0"/>
          <w:lang w:val="ru-RU"/>
        </w:rPr>
        <w:t>Участники публичных слушаний по проекту имеют право вносить предложения и замечания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касающиеся проекта</w:t>
      </w:r>
      <w:r>
        <w:rPr>
          <w:sz w:val="28"/>
          <w:szCs w:val="28"/>
          <w:rtl w:val="0"/>
          <w:lang w:val="ru-RU"/>
        </w:rPr>
        <w:t>,</w:t>
      </w:r>
      <w:r>
        <w:rPr>
          <w:sz w:val="28"/>
          <w:szCs w:val="28"/>
          <w:rtl w:val="0"/>
          <w:lang w:val="ru-RU"/>
        </w:rPr>
        <w:t xml:space="preserve"> со дня его опубликования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Body Text Indent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в письменной форме в адрес организатора публичных слушаний</w:t>
      </w:r>
      <w:r>
        <w:rPr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 xml:space="preserve">(352700, </w:t>
      </w:r>
      <w:r>
        <w:rPr>
          <w:sz w:val="28"/>
          <w:szCs w:val="28"/>
          <w:rtl w:val="0"/>
          <w:lang w:val="ru-RU"/>
        </w:rPr>
        <w:t>Краснодарский край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Тимашевский район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ул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Красная</w:t>
      </w:r>
      <w:r>
        <w:rPr>
          <w:sz w:val="28"/>
          <w:szCs w:val="28"/>
          <w:rtl w:val="0"/>
          <w:lang w:val="ru-RU"/>
        </w:rPr>
        <w:t xml:space="preserve">, 100, </w:t>
      </w:r>
      <w:r>
        <w:rPr>
          <w:sz w:val="28"/>
          <w:szCs w:val="28"/>
          <w:rtl w:val="0"/>
          <w:lang w:val="ru-RU"/>
        </w:rPr>
        <w:t xml:space="preserve">кабинет № </w:t>
      </w:r>
      <w:r>
        <w:rPr>
          <w:sz w:val="28"/>
          <w:szCs w:val="28"/>
          <w:rtl w:val="0"/>
          <w:lang w:val="ru-RU"/>
        </w:rPr>
        <w:t>16)</w:t>
      </w:r>
      <w:r>
        <w:rPr>
          <w:sz w:val="28"/>
          <w:szCs w:val="28"/>
          <w:rtl w:val="0"/>
          <w:lang w:val="ru-RU"/>
        </w:rPr>
        <w:t>;</w:t>
      </w:r>
    </w:p>
    <w:p>
      <w:pPr>
        <w:pStyle w:val="Body Text Indent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посредством официального сайта администрации 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</w:rPr>
        <w:t xml:space="preserve"> (</w:t>
      </w:r>
      <w:r>
        <w:rPr>
          <w:rStyle w:val="Hyperlink.0"/>
          <w:sz w:val="28"/>
          <w:szCs w:val="28"/>
        </w:rPr>
        <w:fldChar w:fldCharType="begin" w:fldLock="0"/>
      </w:r>
      <w:r>
        <w:rPr>
          <w:rStyle w:val="Hyperlink.0"/>
          <w:sz w:val="28"/>
          <w:szCs w:val="28"/>
        </w:rPr>
        <w:instrText xml:space="preserve"> HYPERLINK "http://www.adm-timashevsk.ru"</w:instrText>
      </w:r>
      <w:r>
        <w:rPr>
          <w:rStyle w:val="Hyperlink.0"/>
          <w:sz w:val="28"/>
          <w:szCs w:val="28"/>
        </w:rPr>
        <w:fldChar w:fldCharType="separate" w:fldLock="0"/>
      </w:r>
      <w:r>
        <w:rPr>
          <w:rStyle w:val="Hyperlink.0"/>
          <w:sz w:val="28"/>
          <w:szCs w:val="28"/>
          <w:rtl w:val="0"/>
          <w:lang w:val="ru-RU"/>
        </w:rPr>
        <w:t>www.adm-timashevsk.ru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  <w:lang w:val="ru-RU"/>
        </w:rPr>
        <w:t>)</w:t>
      </w:r>
      <w:r>
        <w:rPr>
          <w:sz w:val="28"/>
          <w:szCs w:val="28"/>
          <w:rtl w:val="0"/>
          <w:lang w:val="ru-RU"/>
        </w:rPr>
        <w:t xml:space="preserve">; </w:t>
      </w:r>
    </w:p>
    <w:p>
      <w:pPr>
        <w:pStyle w:val="header"/>
        <w:widowControl w:val="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clear" w:pos="4677"/>
          <w:tab w:val="clear" w:pos="9355"/>
        </w:tabs>
        <w:ind w:firstLine="700"/>
        <w:jc w:val="both"/>
        <w:rPr>
          <w:sz w:val="28"/>
          <w:szCs w:val="28"/>
          <w14:textOutline w14:w="12700" w14:cap="flat">
            <w14:noFill/>
            <w14:miter w14:lim="400000"/>
          </w14:textOutline>
        </w:rPr>
      </w:pPr>
      <w:r>
        <w:rPr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в письменной или устной форме в ходе проведения публичных слушаний</w:t>
      </w:r>
      <w:r>
        <w:rPr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Text 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2.1. </w:t>
      </w:r>
      <w:r>
        <w:rPr>
          <w:sz w:val="28"/>
          <w:szCs w:val="28"/>
          <w:rtl w:val="0"/>
          <w:lang w:val="ru-RU"/>
        </w:rPr>
        <w:t>Предложения и замечания должны соответствовать Конституции Российской Федерации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требованиям Федерального закона от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 xml:space="preserve">октября </w:t>
      </w:r>
      <w:r>
        <w:rPr>
          <w:sz w:val="28"/>
          <w:szCs w:val="28"/>
          <w:rtl w:val="0"/>
          <w:lang w:val="ru-RU"/>
        </w:rPr>
        <w:t xml:space="preserve">2003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   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131-</w:t>
      </w:r>
      <w:r>
        <w:rPr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федеральному законодательству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законодательству Краснодарского края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Body Text 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2.2. </w:t>
      </w:r>
      <w:r>
        <w:rPr>
          <w:sz w:val="28"/>
          <w:szCs w:val="28"/>
          <w:rtl w:val="0"/>
          <w:lang w:val="ru-RU"/>
        </w:rPr>
        <w:t>Предложения и замечания должны соответствовать следующим требованиям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Body Text 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1) </w:t>
      </w:r>
      <w:r>
        <w:rPr>
          <w:sz w:val="28"/>
          <w:szCs w:val="28"/>
          <w:rtl w:val="0"/>
          <w:lang w:val="ru-RU"/>
        </w:rPr>
        <w:t>обеспечивать однозначное толкование положений Устава 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</w:rPr>
        <w:t>;</w:t>
      </w:r>
    </w:p>
    <w:p>
      <w:pPr>
        <w:pStyle w:val="Body Text 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2) </w:t>
      </w:r>
      <w:r>
        <w:rPr>
          <w:sz w:val="28"/>
          <w:szCs w:val="28"/>
          <w:rtl w:val="0"/>
          <w:lang w:val="ru-RU"/>
        </w:rPr>
        <w:t>не допускать противоречия либо несогласованности с иными положениями Устава 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Внесенные участниками публичных слушаний предложения и замечания подлежат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обязательному рассмотрению организатором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 исключением предложений и замечаний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поступивших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после проведения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Участники публичных слушаний вправе свободно высказывать свое мнение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Участники публичных слушаний вправе снять свои предложения и замечания 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присоединиться к предложениям и замечаниям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выдвинутым другими участниками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Обобщенная информация о мнениях участников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поступивших предложениях и заявлениях отражается  в  протоколе 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который направляется Организатором публичных слушаний в Совет Тимашевского городского поселения Тимашевского района  в течение пяти рабочих дней со дня его  подписания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Перед решением вопроса о принятии   или отклонении предложений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отраженных  в  протоколе  публичных слушаний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далее – поступившие предложения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Совет Тимашевского городского поселения Тимашевского района в соответствии с Регламентом заслушивает доклад председательствующего на сессии Совета Тимашевского городского поселения Тимашевского района либо уполномоченного члена Организатора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Итоги рассмотрения поступивших предложений с обязательным содержанием принятых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включенных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решение Совета Тимашевского городского поселения Тимашевского района «О внесении изменений в Устав Тимашевского городского поселения Тимашевского района» предложений подлежат официальному обнародованию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Глава</w:t>
        <w:tab/>
        <w:t xml:space="preserve"> Тимашевского городского </w:t>
      </w:r>
    </w:p>
    <w:p>
      <w:pPr>
        <w:pStyle w:val="Normal.0"/>
        <w:spacing w:after="0" w:line="240" w:lineRule="auto"/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Панин </w:t>
      </w:r>
    </w:p>
    <w:sectPr>
      <w:headerReference w:type="default" r:id="rId4"/>
      <w:headerReference w:type="even" r:id="rId5"/>
      <w:headerReference w:type="first" r:id="rId6"/>
      <w:footerReference w:type="default" r:id="rId7"/>
      <w:footerReference w:type="even" r:id="rId8"/>
      <w:footerReference w:type="first" r:id="rId9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1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Body Text Indent">
    <w:name w:val="Body Text Indent"/>
    <w:next w:val="Body Text Inden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283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